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Ivan I. Ivanov</w:t>
      </w:r>
      <w:r w:rsidDel="00000000" w:rsidR="00000000" w:rsidRPr="00000000">
        <w:rPr>
          <w:vertAlign w:val="superscript"/>
          <w:rtl w:val="0"/>
        </w:rPr>
        <w:t xml:space="preserve">1</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Peter S. Smirnov</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UDC 662.5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Article title (15 words maximum)</w:t>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ind w:left="142" w:hanging="142"/>
        <w:rPr/>
      </w:pPr>
      <w:r w:rsidDel="00000000" w:rsidR="00000000" w:rsidRPr="00000000">
        <w:rPr>
          <w:vertAlign w:val="superscript"/>
          <w:rtl w:val="0"/>
        </w:rPr>
        <w:t xml:space="preserve">1</w:t>
      </w:r>
      <w:r w:rsidDel="00000000" w:rsidR="00000000" w:rsidRPr="00000000">
        <w:rPr>
          <w:rtl w:val="0"/>
        </w:rPr>
        <w:tab/>
        <w:t xml:space="preserve">Dr. Sci. (Biol.), Professor, Department of Zoology and Evolutionary Ecology of Animals, University of Tyumen </w:t>
      </w:r>
    </w:p>
    <w:p w:rsidR="00000000" w:rsidDel="00000000" w:rsidP="00000000" w:rsidRDefault="00000000" w:rsidRPr="00000000" w14:paraId="00000009">
      <w:pPr>
        <w:ind w:left="142" w:firstLine="38.00000000000001"/>
        <w:rPr/>
      </w:pPr>
      <w:hyperlink r:id="rId7">
        <w:r w:rsidDel="00000000" w:rsidR="00000000" w:rsidRPr="00000000">
          <w:rPr>
            <w:color w:val="1155cc"/>
            <w:u w:val="single"/>
            <w:rtl w:val="0"/>
          </w:rPr>
          <w:t xml:space="preserve">i.i.ivanov@utmn.ru</w:t>
        </w:r>
      </w:hyperlink>
      <w:r w:rsidDel="00000000" w:rsidR="00000000" w:rsidRPr="00000000">
        <w:rPr>
          <w:rtl w:val="0"/>
        </w:rPr>
        <w:t xml:space="preserve">; ORCID: 0000-000000-0000-0000</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142" w:hanging="142"/>
        <w:rPr/>
      </w:pPr>
      <w:r w:rsidDel="00000000" w:rsidR="00000000" w:rsidRPr="00000000">
        <w:rPr>
          <w:vertAlign w:val="superscript"/>
          <w:rtl w:val="0"/>
        </w:rPr>
        <w:t xml:space="preserve">2</w:t>
      </w:r>
      <w:r w:rsidDel="00000000" w:rsidR="00000000" w:rsidRPr="00000000">
        <w:rPr>
          <w:rtl w:val="0"/>
        </w:rPr>
        <w:tab/>
        <w:t xml:space="preserve">Cand. Sci. (Agricult.), Associate Professor, Department of Ecology and Environmental Management, State Agrarian University of Northern Trans-Urals (Tyumen); Researcher, State Nature Reserve “Malaya Sosva” (Sovetskiy)</w:t>
      </w:r>
    </w:p>
    <w:p w:rsidR="00000000" w:rsidDel="00000000" w:rsidP="00000000" w:rsidRDefault="00000000" w:rsidRPr="00000000" w14:paraId="0000000C">
      <w:pPr>
        <w:ind w:firstLine="142"/>
        <w:rPr/>
      </w:pPr>
      <w:r w:rsidDel="00000000" w:rsidR="00000000" w:rsidRPr="00000000">
        <w:rPr>
          <w:rtl w:val="0"/>
        </w:rPr>
        <w:t xml:space="preserve">p.s.smirnov@utmn.ru</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vertAlign w:val="superscript"/>
          <w:rtl w:val="0"/>
        </w:rPr>
        <w:t xml:space="preserve">*</w:t>
      </w:r>
      <w:r w:rsidDel="00000000" w:rsidR="00000000" w:rsidRPr="00000000">
        <w:rPr>
          <w:rtl w:val="0"/>
        </w:rPr>
        <w:t xml:space="preserve">The work was carried out with the financial support of the Russian Foundation for Basic Research (grant No 12345).</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Abstract</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abstract should be 200-250 words. It should include a description of the research field, the main topic or problem; scientific novelty and relevance of the study; the purpose of the study, the main methods, a brief description of the study, short results and the main findings.</w:t>
      </w:r>
    </w:p>
    <w:p w:rsidR="00000000" w:rsidDel="00000000" w:rsidP="00000000" w:rsidRDefault="00000000" w:rsidRPr="00000000" w14:paraId="00000012">
      <w:pPr>
        <w:ind w:firstLine="284"/>
        <w:rPr/>
      </w:pPr>
      <w:r w:rsidDel="00000000" w:rsidR="00000000" w:rsidRPr="00000000">
        <w:rPr>
          <w:rtl w:val="0"/>
        </w:rPr>
        <w:t xml:space="preserve">The abstract should indicate the differences of the current research in comparison with other works related to the same topic and purpose.</w:t>
      </w:r>
    </w:p>
    <w:p w:rsidR="00000000" w:rsidDel="00000000" w:rsidP="00000000" w:rsidRDefault="00000000" w:rsidRPr="00000000" w14:paraId="00000013">
      <w:pPr>
        <w:ind w:firstLine="284"/>
        <w:rPr/>
      </w:pPr>
      <w:r w:rsidDel="00000000" w:rsidR="00000000" w:rsidRPr="00000000">
        <w:rPr>
          <w:rtl w:val="0"/>
        </w:rPr>
        <w:t xml:space="preserve">The abstract should be informative (avoiding too general words), meaningful (reflecting the main content of the article and the results of research), structured (following the logic of describing the results in the article).</w:t>
      </w:r>
    </w:p>
    <w:p w:rsidR="00000000" w:rsidDel="00000000" w:rsidP="00000000" w:rsidRDefault="00000000" w:rsidRPr="00000000" w14:paraId="00000014">
      <w:pPr>
        <w:ind w:firstLine="284"/>
        <w:rPr/>
      </w:pPr>
      <w:r w:rsidDel="00000000" w:rsidR="00000000" w:rsidRPr="00000000">
        <w:rPr>
          <w:rtl w:val="0"/>
        </w:rPr>
        <w:t xml:space="preserve">Abstract should not contain formulas and rare characters, which would require special fonts.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Keywords</w:t>
      </w: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Seven to ten words or phrases, discipline, field of science, topic, purpose, object, results of study.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Introduction</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generally suggest using a simple structure for your article. The preferred structure is IMRaD: Introduction, Methods, Results, and Discussion. It is a rather flexible structure which allows combining or even omitting some sections (depending on the article) and it provides easier understanding and reading experience.</w:t>
      </w:r>
    </w:p>
    <w:p w:rsidR="00000000" w:rsidDel="00000000" w:rsidP="00000000" w:rsidRDefault="00000000" w:rsidRPr="00000000" w14:paraId="0000001C">
      <w:pPr>
        <w:ind w:firstLine="426"/>
        <w:rPr/>
      </w:pPr>
      <w:r w:rsidDel="00000000" w:rsidR="00000000" w:rsidRPr="00000000">
        <w:rPr>
          <w:rtl w:val="0"/>
        </w:rPr>
        <w:t xml:space="preserve">In the Introduction, for example, you explain the purpose of the work and its relevance.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Methods</w:t>
      </w: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Here you describe how you performed the research using what material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Results</w:t>
      </w:r>
    </w:p>
    <w:p w:rsidR="00000000" w:rsidDel="00000000" w:rsidP="00000000" w:rsidRDefault="00000000" w:rsidRPr="00000000" w14:paraId="00000022">
      <w:pPr>
        <w:rPr/>
      </w:pPr>
      <w:r w:rsidDel="00000000" w:rsidR="00000000" w:rsidRPr="00000000">
        <w:rPr>
          <w:rtl w:val="0"/>
        </w:rPr>
        <w:t xml:space="preserve">In this section, you mention what has been obtained during the study.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Discussion</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Here, you explain the importance of your findings.</w:t>
      </w:r>
    </w:p>
    <w:p w:rsidR="00000000" w:rsidDel="00000000" w:rsidP="00000000" w:rsidRDefault="00000000" w:rsidRPr="00000000" w14:paraId="00000026">
      <w:pPr>
        <w:ind w:firstLine="709"/>
        <w:rPr/>
      </w:pPr>
      <w:bookmarkStart w:colFirst="0" w:colLast="0" w:name="_heading=h.gjdgxs" w:id="0"/>
      <w:bookmarkEnd w:id="0"/>
      <w:r w:rsidDel="00000000" w:rsidR="00000000" w:rsidRPr="00000000">
        <w:rPr>
          <w:rtl w:val="0"/>
        </w:rPr>
        <w:t xml:space="preserve">Generally, if you provide a thought discussion of the results in this section, you need not a separate </w:t>
      </w:r>
      <w:r w:rsidDel="00000000" w:rsidR="00000000" w:rsidRPr="00000000">
        <w:rPr>
          <w:b w:val="1"/>
          <w:rtl w:val="0"/>
        </w:rPr>
        <w:t xml:space="preserve">Conclusion</w:t>
      </w:r>
      <w:r w:rsidDel="00000000" w:rsidR="00000000" w:rsidRPr="00000000">
        <w:rPr>
          <w:rtl w:val="0"/>
        </w:rPr>
        <w:t xml:space="preserve">. However, if you only briefly discuss the meaning of your findings in </w:t>
      </w:r>
      <w:r w:rsidDel="00000000" w:rsidR="00000000" w:rsidRPr="00000000">
        <w:rPr>
          <w:b w:val="1"/>
          <w:rtl w:val="0"/>
        </w:rPr>
        <w:t xml:space="preserve">Discussion</w:t>
      </w:r>
      <w:r w:rsidDel="00000000" w:rsidR="00000000" w:rsidRPr="00000000">
        <w:rPr>
          <w:rtl w:val="0"/>
        </w:rPr>
        <w:t xml:space="preserve">, you may provide a more detailed </w:t>
      </w:r>
      <w:r w:rsidDel="00000000" w:rsidR="00000000" w:rsidRPr="00000000">
        <w:rPr>
          <w:b w:val="1"/>
          <w:rtl w:val="0"/>
        </w:rPr>
        <w:t xml:space="preserve">Conclusion</w:t>
      </w:r>
      <w:r w:rsidDel="00000000" w:rsidR="00000000" w:rsidRPr="00000000">
        <w:rPr>
          <w:rtl w:val="0"/>
        </w:rPr>
        <w:t xml:space="preserve"> with regards to the future prospects of your findings, for example.</w:t>
      </w:r>
    </w:p>
    <w:p w:rsidR="00000000" w:rsidDel="00000000" w:rsidP="00000000" w:rsidRDefault="00000000" w:rsidRPr="00000000" w14:paraId="00000027">
      <w:pPr>
        <w:ind w:firstLine="709"/>
        <w:rPr/>
      </w:pPr>
      <w:r w:rsidDel="00000000" w:rsidR="00000000" w:rsidRPr="00000000">
        <w:rPr>
          <w:rtl w:val="0"/>
        </w:rPr>
        <w:t xml:space="preserve">If necessary, you may combine or even omit some of the sections depending on your needs (for example, </w:t>
      </w:r>
      <w:r w:rsidDel="00000000" w:rsidR="00000000" w:rsidRPr="00000000">
        <w:rPr>
          <w:b w:val="1"/>
          <w:rtl w:val="0"/>
        </w:rPr>
        <w:t xml:space="preserve">Results and Discussions</w:t>
      </w:r>
      <w:r w:rsidDel="00000000" w:rsidR="00000000" w:rsidRPr="00000000">
        <w:rPr>
          <w:rtl w:val="0"/>
        </w:rPr>
        <w:t xml:space="preserve"> can be combined together; in the humanities, </w:t>
      </w:r>
      <w:r w:rsidDel="00000000" w:rsidR="00000000" w:rsidRPr="00000000">
        <w:rPr>
          <w:b w:val="1"/>
          <w:rtl w:val="0"/>
        </w:rPr>
        <w:t xml:space="preserve">Methods </w:t>
      </w:r>
      <w:r w:rsidDel="00000000" w:rsidR="00000000" w:rsidRPr="00000000">
        <w:rPr>
          <w:rtl w:val="0"/>
        </w:rPr>
        <w:t xml:space="preserve">might be omitted).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Text formatting</w:t>
      </w:r>
    </w:p>
    <w:p w:rsidR="00000000" w:rsidDel="00000000" w:rsidP="00000000" w:rsidRDefault="00000000" w:rsidRPr="00000000" w14:paraId="0000002A">
      <w:pPr>
        <w:rPr/>
      </w:pPr>
      <w:r w:rsidDel="00000000" w:rsidR="00000000" w:rsidRPr="00000000">
        <w:rPr>
          <w:b w:val="1"/>
          <w:rtl w:val="0"/>
        </w:rPr>
        <w:t xml:space="preserve">Headings</w:t>
      </w:r>
      <w:r w:rsidDel="00000000" w:rsidR="00000000" w:rsidRPr="00000000">
        <w:rPr>
          <w:rtl w:val="0"/>
        </w:rPr>
        <w:t xml:space="preserve"> (in bold) and </w:t>
      </w:r>
      <w:r w:rsidDel="00000000" w:rsidR="00000000" w:rsidRPr="00000000">
        <w:rPr>
          <w:i w:val="1"/>
          <w:rtl w:val="0"/>
        </w:rPr>
        <w:t xml:space="preserve">subheadings</w:t>
      </w:r>
      <w:r w:rsidDel="00000000" w:rsidR="00000000" w:rsidRPr="00000000">
        <w:rPr>
          <w:rtl w:val="0"/>
        </w:rPr>
        <w:t xml:space="preserve"> (in italics) are selected based on the specifics of the article, but they must be logical and the structure of the article must be whole.</w:t>
      </w:r>
    </w:p>
    <w:p w:rsidR="00000000" w:rsidDel="00000000" w:rsidP="00000000" w:rsidRDefault="00000000" w:rsidRPr="00000000" w14:paraId="0000002B">
      <w:pPr>
        <w:ind w:firstLine="426"/>
        <w:rPr/>
      </w:pPr>
      <w:r w:rsidDel="00000000" w:rsidR="00000000" w:rsidRPr="00000000">
        <w:rPr>
          <w:rtl w:val="0"/>
        </w:rPr>
        <w:t xml:space="preserve">Text formatting should be simple, so that it will not change during the transfer to InDesign during the layout process. In particular, it is necessary to avoid using automatic and manual line-break and creating new styles in MS Word (if possible, do not use them at all). </w:t>
      </w:r>
      <w:r w:rsidDel="00000000" w:rsidR="00000000" w:rsidRPr="00000000">
        <w:rPr>
          <w:b w:val="1"/>
          <w:rtl w:val="0"/>
        </w:rPr>
        <w:t xml:space="preserve">Semibold</w:t>
      </w:r>
      <w:r w:rsidDel="00000000" w:rsidR="00000000" w:rsidRPr="00000000">
        <w:rPr>
          <w:rtl w:val="0"/>
        </w:rPr>
        <w:t xml:space="preserve"> and </w:t>
      </w:r>
      <w:r w:rsidDel="00000000" w:rsidR="00000000" w:rsidRPr="00000000">
        <w:rPr>
          <w:i w:val="1"/>
          <w:rtl w:val="0"/>
        </w:rPr>
        <w:t xml:space="preserve">italic</w:t>
      </w:r>
      <w:r w:rsidDel="00000000" w:rsidR="00000000" w:rsidRPr="00000000">
        <w:rPr>
          <w:rtl w:val="0"/>
        </w:rPr>
        <w:t xml:space="preserve"> format are allowed, as well as </w:t>
      </w:r>
      <w:r w:rsidDel="00000000" w:rsidR="00000000" w:rsidRPr="00000000">
        <w:rPr>
          <w:vertAlign w:val="subscript"/>
          <w:rtl w:val="0"/>
        </w:rPr>
        <w:t xml:space="preserve">under-</w:t>
      </w:r>
      <w:r w:rsidDel="00000000" w:rsidR="00000000" w:rsidRPr="00000000">
        <w:rPr>
          <w:rtl w:val="0"/>
        </w:rPr>
        <w:t xml:space="preserve"> and </w:t>
      </w:r>
      <w:r w:rsidDel="00000000" w:rsidR="00000000" w:rsidRPr="00000000">
        <w:rPr>
          <w:vertAlign w:val="superscript"/>
          <w:rtl w:val="0"/>
        </w:rPr>
        <w:t xml:space="preserve">superscript</w:t>
      </w:r>
      <w:r w:rsidDel="00000000" w:rsidR="00000000" w:rsidRPr="00000000">
        <w:rPr>
          <w:rtl w:val="0"/>
        </w:rPr>
        <w:t xml:space="preserve"> signs, but without damaging the readability of the article. Colored </w:t>
      </w:r>
      <w:r w:rsidDel="00000000" w:rsidR="00000000" w:rsidRPr="00000000">
        <w:rPr>
          <w:highlight w:val="yellow"/>
          <w:rtl w:val="0"/>
        </w:rPr>
        <w:t xml:space="preserve">highlights</w:t>
      </w:r>
      <w:r w:rsidDel="00000000" w:rsidR="00000000" w:rsidRPr="00000000">
        <w:rPr>
          <w:rtl w:val="0"/>
        </w:rPr>
        <w:t xml:space="preserve"> and </w:t>
      </w:r>
      <w:r w:rsidDel="00000000" w:rsidR="00000000" w:rsidRPr="00000000">
        <w:rPr>
          <w:color w:val="ff0000"/>
          <w:rtl w:val="0"/>
        </w:rPr>
        <w:t xml:space="preserve">text</w:t>
      </w:r>
      <w:r w:rsidDel="00000000" w:rsidR="00000000" w:rsidRPr="00000000">
        <w:rPr>
          <w:rtl w:val="0"/>
        </w:rPr>
        <w:t xml:space="preserve"> are not allowed.</w:t>
      </w:r>
    </w:p>
    <w:p w:rsidR="00000000" w:rsidDel="00000000" w:rsidP="00000000" w:rsidRDefault="00000000" w:rsidRPr="00000000" w14:paraId="0000002C">
      <w:pPr>
        <w:ind w:firstLine="426"/>
        <w:rPr/>
      </w:pPr>
      <w:r w:rsidDel="00000000" w:rsidR="00000000" w:rsidRPr="00000000">
        <w:rPr>
          <w:rtl w:val="0"/>
        </w:rPr>
        <w:t xml:space="preserve">All abbreviations, except for the generally accepted ones, should be spelled out at their first mention.</w:t>
      </w:r>
    </w:p>
    <w:p w:rsidR="00000000" w:rsidDel="00000000" w:rsidP="00000000" w:rsidRDefault="00000000" w:rsidRPr="00000000" w14:paraId="0000002D">
      <w:pPr>
        <w:ind w:firstLine="426"/>
        <w:rPr/>
      </w:pPr>
      <w:r w:rsidDel="00000000" w:rsidR="00000000" w:rsidRPr="00000000">
        <w:rPr>
          <w:rtl w:val="0"/>
        </w:rPr>
        <w:t xml:space="preserve">In-text references are placed in square brackets, e.g., [2]; more than one references are separated by a comma — [2, 3] — or a semicolon, if at least one of them has page numbers: [2, p. 312; 3, p. 312-320]. Repeated reference to one source in the article is made under the same number under which it is presented in the list of references, with the obligatory indication of the page(s), for example: [1: 125]; [1: 360-363].</w:t>
      </w:r>
    </w:p>
    <w:p w:rsidR="00000000" w:rsidDel="00000000" w:rsidP="00000000" w:rsidRDefault="00000000" w:rsidRPr="00000000" w14:paraId="0000002E">
      <w:pPr>
        <w:ind w:firstLine="426"/>
        <w:rPr/>
      </w:pPr>
      <w:r w:rsidDel="00000000" w:rsidR="00000000" w:rsidRPr="00000000">
        <w:rPr>
          <w:rtl w:val="0"/>
        </w:rPr>
        <w:t xml:space="preserve">Author’s notes follow the style of a footnote and they are marked by a superscript number. The text of the footnote is located at the bottom of the page.</w:t>
      </w:r>
    </w:p>
    <w:p w:rsidR="00000000" w:rsidDel="00000000" w:rsidP="00000000" w:rsidRDefault="00000000" w:rsidRPr="00000000" w14:paraId="0000002F">
      <w:pPr>
        <w:ind w:firstLine="426"/>
        <w:rPr/>
      </w:pPr>
      <w:r w:rsidDel="00000000" w:rsidR="00000000" w:rsidRPr="00000000">
        <w:rPr>
          <w:rtl w:val="0"/>
        </w:rPr>
        <w:t xml:space="preserve">If rare languages (Chinese, Japanese, Sanskrit, etc.) are used in the article, it is necessary to attach a corresponding font base.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i w:val="1"/>
          <w:rtl w:val="0"/>
        </w:rPr>
        <w:t xml:space="preserve">Figures</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Black-and-white and colored figures are accepted, however, the former are preferred, especially in diagrams, schemes, and graphs. Figures should be mentioned in the text beforehand, aligned in the center and have captions both in Russian and English. If there is text in the figure, it should be comparable to the main text size. For example, Fig. 1 shows a grey rectangle, or consider a grey rectangle (Fig. 1).</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mc:AlternateContent>
          <mc:Choice Requires="wpg">
            <w:drawing>
              <wp:inline distB="0" distT="0" distL="0" distR="0">
                <wp:extent cx="1981200" cy="895350"/>
                <wp:effectExtent b="0" l="0" r="0" t="0"/>
                <wp:docPr id="2" name=""/>
                <a:graphic>
                  <a:graphicData uri="http://schemas.microsoft.com/office/word/2010/wordprocessingShape">
                    <wps:wsp>
                      <wps:cNvSpPr/>
                      <wps:cNvPr id="2" name="Shape 2"/>
                      <wps:spPr>
                        <a:xfrm>
                          <a:off x="4361750" y="3338675"/>
                          <a:ext cx="1968500" cy="88265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Figure text</w:t>
                            </w:r>
                          </w:p>
                        </w:txbxContent>
                      </wps:txbx>
                      <wps:bodyPr anchorCtr="0" anchor="b" bIns="45700" lIns="91425" spcFirstLastPara="1" rIns="91425" wrap="square" tIns="45700">
                        <a:noAutofit/>
                      </wps:bodyPr>
                    </wps:wsp>
                  </a:graphicData>
                </a:graphic>
              </wp:inline>
            </w:drawing>
          </mc:Choice>
          <mc:Fallback>
            <w:drawing>
              <wp:inline distB="0" distT="0" distL="0" distR="0">
                <wp:extent cx="1981200" cy="895350"/>
                <wp:effectExtent b="0" l="0" r="0" t="0"/>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981200" cy="895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Fig. 1. Grey rectangle</w:t>
      </w:r>
    </w:p>
    <w:p w:rsidR="00000000" w:rsidDel="00000000" w:rsidP="00000000" w:rsidRDefault="00000000" w:rsidRPr="00000000" w14:paraId="00000036">
      <w:pPr>
        <w:jc w:val="left"/>
        <w:rPr/>
      </w:pPr>
      <w:r w:rsidDel="00000000" w:rsidR="00000000" w:rsidRPr="00000000">
        <w:rPr>
          <w:rtl w:val="0"/>
        </w:rPr>
        <w:t xml:space="preserve">Рис. 1. Серый прямоугольник</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i w:val="1"/>
          <w:rtl w:val="0"/>
        </w:rPr>
        <w:t xml:space="preserve">Tables</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All tables should contain editable text — not a picture — and a “header”. The table header and notes should be both in Russian and English. The tables should be mentioned in the text in advance: for example, Table 1 presents the abbreviations of the Russian academic fields in Russian and English.</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Table 1. Abbreviations of science fields in Russian and English</w:t>
      </w:r>
    </w:p>
    <w:p w:rsidR="00000000" w:rsidDel="00000000" w:rsidP="00000000" w:rsidRDefault="00000000" w:rsidRPr="00000000" w14:paraId="0000003C">
      <w:pPr>
        <w:rPr/>
      </w:pPr>
      <w:r w:rsidDel="00000000" w:rsidR="00000000" w:rsidRPr="00000000">
        <w:rPr>
          <w:rtl w:val="0"/>
        </w:rPr>
        <w:t xml:space="preserve">Table 1. Abbreviations of the branches of science in Russian and English</w:t>
      </w:r>
    </w:p>
    <w:tbl>
      <w:tblPr>
        <w:tblStyle w:val="Table1"/>
        <w:tblW w:w="50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9"/>
        <w:gridCol w:w="2520"/>
        <w:tblGridChange w:id="0">
          <w:tblGrid>
            <w:gridCol w:w="2519"/>
            <w:gridCol w:w="2520"/>
          </w:tblGrid>
        </w:tblGridChange>
      </w:tblGrid>
      <w:tr>
        <w:tc>
          <w:tcPr>
            <w:shd w:fill="auto" w:val="clear"/>
            <w:vAlign w:val="center"/>
          </w:tcPr>
          <w:p w:rsidR="00000000" w:rsidDel="00000000" w:rsidP="00000000" w:rsidRDefault="00000000" w:rsidRPr="00000000" w14:paraId="0000003D">
            <w:pPr>
              <w:rPr/>
            </w:pPr>
            <w:r w:rsidDel="00000000" w:rsidR="00000000" w:rsidRPr="00000000">
              <w:rPr>
                <w:rtl w:val="0"/>
              </w:rPr>
              <w:t xml:space="preserve">Russian</w:t>
            </w:r>
          </w:p>
        </w:tc>
        <w:tc>
          <w:tcPr>
            <w:shd w:fill="auto" w:val="clear"/>
            <w:vAlign w:val="center"/>
          </w:tcPr>
          <w:p w:rsidR="00000000" w:rsidDel="00000000" w:rsidP="00000000" w:rsidRDefault="00000000" w:rsidRPr="00000000" w14:paraId="0000003E">
            <w:pPr>
              <w:rPr/>
            </w:pPr>
            <w:r w:rsidDel="00000000" w:rsidR="00000000" w:rsidRPr="00000000">
              <w:rPr>
                <w:rtl w:val="0"/>
              </w:rPr>
              <w:t xml:space="preserve">English</w:t>
            </w:r>
          </w:p>
        </w:tc>
      </w:tr>
      <w:tr>
        <w:tc>
          <w:tcPr>
            <w:shd w:fill="auto" w:val="clear"/>
            <w:vAlign w:val="center"/>
          </w:tcPr>
          <w:p w:rsidR="00000000" w:rsidDel="00000000" w:rsidP="00000000" w:rsidRDefault="00000000" w:rsidRPr="00000000" w14:paraId="0000003F">
            <w:pPr>
              <w:rPr/>
            </w:pPr>
            <w:r w:rsidDel="00000000" w:rsidR="00000000" w:rsidRPr="00000000">
              <w:rPr>
                <w:rtl w:val="0"/>
              </w:rPr>
              <w:t xml:space="preserve">архитектуры </w:t>
            </w:r>
          </w:p>
        </w:tc>
        <w:tc>
          <w:tcPr>
            <w:shd w:fill="auto" w:val="clear"/>
            <w:vAlign w:val="center"/>
          </w:tcPr>
          <w:p w:rsidR="00000000" w:rsidDel="00000000" w:rsidP="00000000" w:rsidRDefault="00000000" w:rsidRPr="00000000" w14:paraId="00000040">
            <w:pPr>
              <w:rPr/>
            </w:pPr>
            <w:r w:rsidDel="00000000" w:rsidR="00000000" w:rsidRPr="00000000">
              <w:rPr>
                <w:rtl w:val="0"/>
              </w:rPr>
              <w:t xml:space="preserve">Architect.</w:t>
            </w:r>
          </w:p>
        </w:tc>
      </w:tr>
      <w:tr>
        <w:tc>
          <w:tcPr>
            <w:shd w:fill="auto" w:val="clear"/>
            <w:vAlign w:val="center"/>
          </w:tcPr>
          <w:p w:rsidR="00000000" w:rsidDel="00000000" w:rsidP="00000000" w:rsidRDefault="00000000" w:rsidRPr="00000000" w14:paraId="00000041">
            <w:pPr>
              <w:rPr/>
            </w:pPr>
            <w:r w:rsidDel="00000000" w:rsidR="00000000" w:rsidRPr="00000000">
              <w:rPr>
                <w:rtl w:val="0"/>
              </w:rPr>
              <w:t xml:space="preserve">биол.</w:t>
            </w:r>
          </w:p>
        </w:tc>
        <w:tc>
          <w:tcPr>
            <w:shd w:fill="auto" w:val="clear"/>
            <w:vAlign w:val="center"/>
          </w:tcPr>
          <w:p w:rsidR="00000000" w:rsidDel="00000000" w:rsidP="00000000" w:rsidRDefault="00000000" w:rsidRPr="00000000" w14:paraId="00000042">
            <w:pPr>
              <w:rPr/>
            </w:pPr>
            <w:r w:rsidDel="00000000" w:rsidR="00000000" w:rsidRPr="00000000">
              <w:rPr>
                <w:rtl w:val="0"/>
              </w:rPr>
              <w:t xml:space="preserve">Biol.</w:t>
            </w:r>
          </w:p>
        </w:tc>
      </w:tr>
      <w:tr>
        <w:tc>
          <w:tcPr>
            <w:shd w:fill="auto" w:val="clear"/>
            <w:vAlign w:val="center"/>
          </w:tcPr>
          <w:p w:rsidR="00000000" w:rsidDel="00000000" w:rsidP="00000000" w:rsidRDefault="00000000" w:rsidRPr="00000000" w14:paraId="00000043">
            <w:pPr>
              <w:rPr/>
            </w:pPr>
            <w:r w:rsidDel="00000000" w:rsidR="00000000" w:rsidRPr="00000000">
              <w:rPr>
                <w:rtl w:val="0"/>
              </w:rPr>
              <w:t xml:space="preserve">ветеринар.</w:t>
            </w:r>
          </w:p>
        </w:tc>
        <w:tc>
          <w:tcPr>
            <w:shd w:fill="auto" w:val="clear"/>
            <w:vAlign w:val="center"/>
          </w:tcPr>
          <w:p w:rsidR="00000000" w:rsidDel="00000000" w:rsidP="00000000" w:rsidRDefault="00000000" w:rsidRPr="00000000" w14:paraId="00000044">
            <w:pPr>
              <w:rPr/>
            </w:pPr>
            <w:r w:rsidDel="00000000" w:rsidR="00000000" w:rsidRPr="00000000">
              <w:rPr>
                <w:rtl w:val="0"/>
              </w:rPr>
              <w:t xml:space="preserve">Vet.</w:t>
            </w:r>
          </w:p>
        </w:tc>
      </w:tr>
      <w:tr>
        <w:tc>
          <w:tcPr>
            <w:shd w:fill="auto" w:val="clear"/>
            <w:vAlign w:val="center"/>
          </w:tcPr>
          <w:p w:rsidR="00000000" w:rsidDel="00000000" w:rsidP="00000000" w:rsidRDefault="00000000" w:rsidRPr="00000000" w14:paraId="00000045">
            <w:pPr>
              <w:rPr/>
            </w:pPr>
            <w:r w:rsidDel="00000000" w:rsidR="00000000" w:rsidRPr="00000000">
              <w:rPr>
                <w:rtl w:val="0"/>
              </w:rPr>
              <w:t xml:space="preserve">воен.</w:t>
            </w:r>
          </w:p>
        </w:tc>
        <w:tc>
          <w:tcPr>
            <w:shd w:fill="auto" w:val="clear"/>
            <w:vAlign w:val="center"/>
          </w:tcPr>
          <w:p w:rsidR="00000000" w:rsidDel="00000000" w:rsidP="00000000" w:rsidRDefault="00000000" w:rsidRPr="00000000" w14:paraId="00000046">
            <w:pPr>
              <w:rPr/>
            </w:pPr>
            <w:r w:rsidDel="00000000" w:rsidR="00000000" w:rsidRPr="00000000">
              <w:rPr>
                <w:rtl w:val="0"/>
              </w:rPr>
              <w:t xml:space="preserve">Milit.</w:t>
            </w:r>
          </w:p>
        </w:tc>
      </w:tr>
      <w:tr>
        <w:tc>
          <w:tcPr>
            <w:shd w:fill="auto" w:val="clear"/>
            <w:vAlign w:val="center"/>
          </w:tcPr>
          <w:p w:rsidR="00000000" w:rsidDel="00000000" w:rsidP="00000000" w:rsidRDefault="00000000" w:rsidRPr="00000000" w14:paraId="00000047">
            <w:pPr>
              <w:rPr/>
            </w:pPr>
            <w:r w:rsidDel="00000000" w:rsidR="00000000" w:rsidRPr="00000000">
              <w:rPr>
                <w:rtl w:val="0"/>
              </w:rPr>
              <w:t xml:space="preserve">геогр.</w:t>
            </w:r>
          </w:p>
        </w:tc>
        <w:tc>
          <w:tcPr>
            <w:shd w:fill="auto" w:val="clear"/>
            <w:vAlign w:val="center"/>
          </w:tcPr>
          <w:p w:rsidR="00000000" w:rsidDel="00000000" w:rsidP="00000000" w:rsidRDefault="00000000" w:rsidRPr="00000000" w14:paraId="00000048">
            <w:pPr>
              <w:rPr/>
            </w:pPr>
            <w:r w:rsidDel="00000000" w:rsidR="00000000" w:rsidRPr="00000000">
              <w:rPr>
                <w:rtl w:val="0"/>
              </w:rPr>
              <w:t xml:space="preserve">Geogr.</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rPr/>
            </w:pPr>
            <w:r w:rsidDel="00000000" w:rsidR="00000000" w:rsidRPr="00000000">
              <w:rPr>
                <w:rtl w:val="0"/>
              </w:rPr>
              <w:t xml:space="preserve">геол.-минерал.</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rPr/>
            </w:pPr>
            <w:r w:rsidDel="00000000" w:rsidR="00000000" w:rsidRPr="00000000">
              <w:rPr>
                <w:rtl w:val="0"/>
              </w:rPr>
              <w:t xml:space="preserve">Geol.-Mineral.</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rPr/>
            </w:pPr>
            <w:r w:rsidDel="00000000" w:rsidR="00000000" w:rsidRPr="00000000">
              <w:rPr>
                <w:rtl w:val="0"/>
              </w:rPr>
              <w:t xml:space="preserve">искусствоведения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C">
            <w:pPr>
              <w:rPr/>
            </w:pPr>
            <w:r w:rsidDel="00000000" w:rsidR="00000000" w:rsidRPr="00000000">
              <w:rPr>
                <w:rtl w:val="0"/>
              </w:rPr>
              <w:t xml:space="preserve">Art Studies</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rPr/>
            </w:pPr>
            <w:r w:rsidDel="00000000" w:rsidR="00000000" w:rsidRPr="00000000">
              <w:rPr>
                <w:rtl w:val="0"/>
              </w:rPr>
              <w:t xml:space="preserve">ист.</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rPr/>
            </w:pPr>
            <w:r w:rsidDel="00000000" w:rsidR="00000000" w:rsidRPr="00000000">
              <w:rPr>
                <w:rtl w:val="0"/>
              </w:rPr>
              <w:t xml:space="preserve">Hist.</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rPr/>
            </w:pPr>
            <w:r w:rsidDel="00000000" w:rsidR="00000000" w:rsidRPr="00000000">
              <w:rPr>
                <w:rtl w:val="0"/>
              </w:rPr>
              <w:t xml:space="preserve">культурологии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rPr/>
            </w:pPr>
            <w:r w:rsidDel="00000000" w:rsidR="00000000" w:rsidRPr="00000000">
              <w:rPr>
                <w:rtl w:val="0"/>
              </w:rPr>
              <w:t xml:space="preserve">Culture Studies</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rPr/>
            </w:pPr>
            <w:r w:rsidDel="00000000" w:rsidR="00000000" w:rsidRPr="00000000">
              <w:rPr>
                <w:rtl w:val="0"/>
              </w:rPr>
              <w:t xml:space="preserve">мед.</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rPr/>
            </w:pPr>
            <w:r w:rsidDel="00000000" w:rsidR="00000000" w:rsidRPr="00000000">
              <w:rPr>
                <w:rtl w:val="0"/>
              </w:rPr>
              <w:t xml:space="preserve">Med.</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rPr/>
            </w:pPr>
            <w:r w:rsidDel="00000000" w:rsidR="00000000" w:rsidRPr="00000000">
              <w:rPr>
                <w:rtl w:val="0"/>
              </w:rPr>
              <w:t xml:space="preserve">пед.</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4">
            <w:pPr>
              <w:rPr/>
            </w:pPr>
            <w:r w:rsidDel="00000000" w:rsidR="00000000" w:rsidRPr="00000000">
              <w:rPr>
                <w:rtl w:val="0"/>
              </w:rPr>
              <w:t xml:space="preserve">Ped.</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rPr/>
            </w:pPr>
            <w:r w:rsidDel="00000000" w:rsidR="00000000" w:rsidRPr="00000000">
              <w:rPr>
                <w:rtl w:val="0"/>
              </w:rPr>
              <w:t xml:space="preserve">полит.</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rPr/>
            </w:pPr>
            <w:r w:rsidDel="00000000" w:rsidR="00000000" w:rsidRPr="00000000">
              <w:rPr>
                <w:rtl w:val="0"/>
              </w:rPr>
              <w:t xml:space="preserve">Polit.</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rPr/>
            </w:pPr>
            <w:r w:rsidDel="00000000" w:rsidR="00000000" w:rsidRPr="00000000">
              <w:rPr>
                <w:rtl w:val="0"/>
              </w:rPr>
              <w:t xml:space="preserve">психол.</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rPr/>
            </w:pPr>
            <w:r w:rsidDel="00000000" w:rsidR="00000000" w:rsidRPr="00000000">
              <w:rPr>
                <w:rtl w:val="0"/>
              </w:rPr>
              <w:t xml:space="preserve">Psych.</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rPr/>
            </w:pPr>
            <w:r w:rsidDel="00000000" w:rsidR="00000000" w:rsidRPr="00000000">
              <w:rPr>
                <w:rtl w:val="0"/>
              </w:rPr>
              <w:t xml:space="preserve">с.-х.</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A">
            <w:pPr>
              <w:rPr/>
            </w:pPr>
            <w:r w:rsidDel="00000000" w:rsidR="00000000" w:rsidRPr="00000000">
              <w:rPr>
                <w:rtl w:val="0"/>
              </w:rPr>
              <w:t xml:space="preserve">Aggricult.</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rPr/>
            </w:pPr>
            <w:r w:rsidDel="00000000" w:rsidR="00000000" w:rsidRPr="00000000">
              <w:rPr>
                <w:rtl w:val="0"/>
              </w:rPr>
              <w:t xml:space="preserve">социол.</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rPr/>
            </w:pPr>
            <w:r w:rsidDel="00000000" w:rsidR="00000000" w:rsidRPr="00000000">
              <w:rPr>
                <w:rtl w:val="0"/>
              </w:rPr>
              <w:t xml:space="preserve">Soc.</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rPr/>
            </w:pPr>
            <w:r w:rsidDel="00000000" w:rsidR="00000000" w:rsidRPr="00000000">
              <w:rPr>
                <w:rtl w:val="0"/>
              </w:rPr>
              <w:t xml:space="preserve">техн.</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rPr/>
            </w:pPr>
            <w:r w:rsidDel="00000000" w:rsidR="00000000" w:rsidRPr="00000000">
              <w:rPr>
                <w:rtl w:val="0"/>
              </w:rPr>
              <w:t xml:space="preserve">Tech.</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rPr/>
            </w:pPr>
            <w:r w:rsidDel="00000000" w:rsidR="00000000" w:rsidRPr="00000000">
              <w:rPr>
                <w:rtl w:val="0"/>
              </w:rPr>
              <w:t xml:space="preserve">фармацевт.</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rPr/>
            </w:pPr>
            <w:r w:rsidDel="00000000" w:rsidR="00000000" w:rsidRPr="00000000">
              <w:rPr>
                <w:rtl w:val="0"/>
              </w:rPr>
              <w:t xml:space="preserve">Pharm.</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1">
            <w:pPr>
              <w:rPr/>
            </w:pPr>
            <w:r w:rsidDel="00000000" w:rsidR="00000000" w:rsidRPr="00000000">
              <w:rPr>
                <w:rtl w:val="0"/>
              </w:rPr>
              <w:t xml:space="preserve">физ.-мат.</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2">
            <w:pPr>
              <w:rPr/>
            </w:pPr>
            <w:r w:rsidDel="00000000" w:rsidR="00000000" w:rsidRPr="00000000">
              <w:rPr>
                <w:rtl w:val="0"/>
              </w:rPr>
              <w:t xml:space="preserve">Phys.-Math.</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3">
            <w:pPr>
              <w:rPr/>
            </w:pPr>
            <w:r w:rsidDel="00000000" w:rsidR="00000000" w:rsidRPr="00000000">
              <w:rPr>
                <w:rtl w:val="0"/>
              </w:rPr>
              <w:t xml:space="preserve">филол.</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4">
            <w:pPr>
              <w:rPr/>
            </w:pPr>
            <w:r w:rsidDel="00000000" w:rsidR="00000000" w:rsidRPr="00000000">
              <w:rPr>
                <w:rtl w:val="0"/>
              </w:rPr>
              <w:t xml:space="preserve">Phylol.</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rPr/>
            </w:pPr>
            <w:r w:rsidDel="00000000" w:rsidR="00000000" w:rsidRPr="00000000">
              <w:rPr>
                <w:rtl w:val="0"/>
              </w:rPr>
              <w:t xml:space="preserve">филос.</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6">
            <w:pPr>
              <w:rPr/>
            </w:pPr>
            <w:r w:rsidDel="00000000" w:rsidR="00000000" w:rsidRPr="00000000">
              <w:rPr>
                <w:rtl w:val="0"/>
              </w:rPr>
              <w:t xml:space="preserve">Phylos.</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7">
            <w:pPr>
              <w:rPr/>
            </w:pPr>
            <w:r w:rsidDel="00000000" w:rsidR="00000000" w:rsidRPr="00000000">
              <w:rPr>
                <w:rtl w:val="0"/>
              </w:rPr>
              <w:t xml:space="preserve">хим.</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rPr/>
            </w:pPr>
            <w:r w:rsidDel="00000000" w:rsidR="00000000" w:rsidRPr="00000000">
              <w:rPr>
                <w:rtl w:val="0"/>
              </w:rPr>
              <w:t xml:space="preserve">Chem.</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rPr/>
            </w:pPr>
            <w:r w:rsidDel="00000000" w:rsidR="00000000" w:rsidRPr="00000000">
              <w:rPr>
                <w:rtl w:val="0"/>
              </w:rPr>
              <w:t xml:space="preserve">экон.</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A">
            <w:pPr>
              <w:rPr/>
            </w:pPr>
            <w:r w:rsidDel="00000000" w:rsidR="00000000" w:rsidRPr="00000000">
              <w:rPr>
                <w:rtl w:val="0"/>
              </w:rPr>
              <w:t xml:space="preserve">Econ.</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B">
            <w:pPr>
              <w:rPr/>
            </w:pPr>
            <w:r w:rsidDel="00000000" w:rsidR="00000000" w:rsidRPr="00000000">
              <w:rPr>
                <w:rtl w:val="0"/>
              </w:rPr>
              <w:t xml:space="preserve">юрид.</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C">
            <w:pPr>
              <w:rPr/>
            </w:pPr>
            <w:r w:rsidDel="00000000" w:rsidR="00000000" w:rsidRPr="00000000">
              <w:rPr>
                <w:rtl w:val="0"/>
              </w:rPr>
              <w:t xml:space="preserve">Jur.</w:t>
            </w:r>
          </w:p>
        </w:tc>
      </w:tr>
    </w:tbl>
    <w:p w:rsidR="00000000" w:rsidDel="00000000" w:rsidP="00000000" w:rsidRDefault="00000000" w:rsidRPr="00000000" w14:paraId="0000006D">
      <w:pPr>
        <w:rPr/>
      </w:pPr>
      <w:r w:rsidDel="00000000" w:rsidR="00000000" w:rsidRPr="00000000">
        <w:rPr>
          <w:rtl w:val="0"/>
        </w:rPr>
        <w:t xml:space="preserve">Notes: Notes to Table 1</w:t>
      </w:r>
    </w:p>
    <w:p w:rsidR="00000000" w:rsidDel="00000000" w:rsidP="00000000" w:rsidRDefault="00000000" w:rsidRPr="00000000" w14:paraId="0000006E">
      <w:pPr>
        <w:rPr/>
      </w:pPr>
      <w:r w:rsidDel="00000000" w:rsidR="00000000" w:rsidRPr="00000000">
        <w:rPr>
          <w:rtl w:val="0"/>
        </w:rPr>
        <w:t xml:space="preserve">Примечания: примечания к таблице 1</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keepNext w:val="1"/>
        <w:rPr/>
      </w:pPr>
      <w:r w:rsidDel="00000000" w:rsidR="00000000" w:rsidRPr="00000000">
        <w:rPr>
          <w:i w:val="1"/>
          <w:rtl w:val="0"/>
        </w:rPr>
        <w:t xml:space="preserve">Formulas</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For creating formulas in the text of the article, we recommend using the standard formula editor in the Microsoft Office Word (version 2007 and above): Insert &gt; Formula. Mathematical expressions should be in the form of editable text, not images. This is important for the preservation of formulas during the layout process. All formulas presented separately in the text should be numbered. If adding the symbols into a string after the formula changes its formatting, the original formatting will be used for the layout. For example, the Fourier series is a representation of an arbitrary function </w:t>
      </w:r>
      <w:r w:rsidDel="00000000" w:rsidR="00000000" w:rsidRPr="00000000">
        <w:rPr>
          <w:i w:val="1"/>
          <w:rtl w:val="0"/>
        </w:rPr>
        <w:t xml:space="preserve">f</w:t>
      </w:r>
      <w:r w:rsidDel="00000000" w:rsidR="00000000" w:rsidRPr="00000000">
        <w:rPr>
          <w:rtl w:val="0"/>
        </w:rPr>
        <w:t xml:space="preserve"> with the period </w:t>
      </w:r>
      <w:r w:rsidDel="00000000" w:rsidR="00000000" w:rsidRPr="00000000">
        <w:rPr>
          <w:i w:val="1"/>
          <w:rtl w:val="0"/>
        </w:rPr>
        <w:t xml:space="preserve">τ</w:t>
      </w:r>
      <w:r w:rsidDel="00000000" w:rsidR="00000000" w:rsidRPr="00000000">
        <w:rPr>
          <w:rtl w:val="0"/>
        </w:rPr>
        <w:t xml:space="preserve"> as a series: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jc w:val="right"/>
        <w:rPr/>
      </w:pPr>
      <m:oMath>
        <m:r>
          <w:rPr>
            <w:rFonts w:ascii="Cambria Math" w:cs="Cambria Math" w:eastAsia="Cambria Math" w:hAnsi="Cambria Math"/>
          </w:rPr>
          <m:t xml:space="preserve">f</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m:t>
        </m:r>
        <m:f>
          <m:fPr>
            <m:ctrlPr>
              <w:rPr>
                <w:rFonts w:ascii="Cambria Math" w:cs="Cambria Math" w:eastAsia="Cambria Math" w:hAnsi="Cambria Math"/>
              </w:rPr>
            </m:ctrlPr>
          </m:fPr>
          <m:num>
            <m:sSub>
              <m:sSubPr>
                <m:ctrlPr>
                  <w:rPr>
                    <w:rFonts w:ascii="Cambria Math" w:cs="Cambria Math" w:eastAsia="Cambria Math" w:hAnsi="Cambria Math"/>
                  </w:rPr>
                </m:ctrlPr>
              </m:sSubPr>
              <m:e>
                <m:r>
                  <w:rPr>
                    <w:rFonts w:ascii="Cambria Math" w:cs="Cambria Math" w:eastAsia="Cambria Math" w:hAnsi="Cambria Math"/>
                  </w:rPr>
                  <m:t xml:space="preserve">a</m:t>
                </m:r>
              </m:e>
              <m:sub>
                <m:r>
                  <w:rPr>
                    <w:rFonts w:ascii="Cambria Math" w:cs="Cambria Math" w:eastAsia="Cambria Math" w:hAnsi="Cambria Math"/>
                  </w:rPr>
                  <m:t xml:space="preserve">0</m:t>
                </m:r>
              </m:sub>
            </m:sSub>
          </m:num>
          <m:den>
            <m:r>
              <w:rPr>
                <w:rFonts w:ascii="Cambria Math" w:cs="Cambria Math" w:eastAsia="Cambria Math" w:hAnsi="Cambria Math"/>
              </w:rPr>
              <m:t xml:space="preserve">2</m:t>
            </m:r>
          </m:den>
        </m:f>
        <m:r>
          <w:rPr>
            <w:rFonts w:ascii="Cambria Math" w:cs="Cambria Math" w:eastAsia="Cambria Math" w:hAnsi="Cambria Math"/>
          </w:rPr>
          <m:t xml:space="preserve">+</m:t>
        </m:r>
        <m:nary>
          <m:naryPr>
            <m:chr m:val="∑"/>
            <m:ctrlPr>
              <w:rPr>
                <w:rFonts w:ascii="Cambria Math" w:cs="Cambria Math" w:eastAsia="Cambria Math" w:hAnsi="Cambria Math"/>
              </w:rPr>
            </m:ctrlPr>
          </m:naryPr>
          <m:sub>
            <m:r>
              <w:rPr>
                <w:rFonts w:ascii="Cambria Math" w:cs="Cambria Math" w:eastAsia="Cambria Math" w:hAnsi="Cambria Math"/>
              </w:rPr>
              <m:t xml:space="preserve">k=1</m:t>
            </m:r>
          </m:sub>
          <m:sup>
            <m:r>
              <w:rPr>
                <w:rFonts w:ascii="Cambria Math" w:cs="Cambria Math" w:eastAsia="Cambria Math" w:hAnsi="Cambria Math"/>
              </w:rPr>
              <m:t xml:space="preserve">+∞</m:t>
            </m:r>
          </m:sup>
        </m:nary>
        <m:sSub>
          <m:sSubPr>
            <m:ctrlPr>
              <w:rPr>
                <w:rFonts w:ascii="Cambria Math" w:cs="Cambria Math" w:eastAsia="Cambria Math" w:hAnsi="Cambria Math"/>
              </w:rPr>
            </m:ctrlPr>
          </m:sSubPr>
          <m:e>
            <m:r>
              <w:rPr>
                <w:rFonts w:ascii="Cambria Math" w:cs="Cambria Math" w:eastAsia="Cambria Math" w:hAnsi="Cambria Math"/>
              </w:rPr>
              <m:t xml:space="preserve">A</m:t>
            </m:r>
          </m:e>
          <m:sub>
            <m:r>
              <w:rPr>
                <w:rFonts w:ascii="Cambria Math" w:cs="Cambria Math" w:eastAsia="Cambria Math" w:hAnsi="Cambria Math"/>
              </w:rPr>
              <m:t xml:space="preserve">k</m:t>
            </m:r>
          </m:sub>
        </m:sSub>
        <m:r>
          <w:rPr>
            <w:rFonts w:ascii="Cambria Math" w:cs="Cambria Math" w:eastAsia="Cambria Math" w:hAnsi="Cambria Math"/>
          </w:rPr>
          <m:t xml:space="preserve">cos</m:t>
        </m:r>
        <m:d>
          <m:dPr>
            <m:begChr m:val="("/>
            <m:endChr m:val=")"/>
            <m:ctrlPr>
              <w:rPr>
                <w:rFonts w:ascii="Cambria Math" w:cs="Cambria Math" w:eastAsia="Cambria Math" w:hAnsi="Cambria Math"/>
              </w:rPr>
            </m:ctrlPr>
          </m:dPr>
          <m:e>
            <m:r>
              <w:rPr>
                <w:rFonts w:ascii="Cambria Math" w:cs="Cambria Math" w:eastAsia="Cambria Math" w:hAnsi="Cambria Math"/>
              </w:rPr>
              <m:t xml:space="preserve">2</m:t>
            </m:r>
            <m:r>
              <w:rPr>
                <w:rFonts w:ascii="Cambria Math" w:cs="Cambria Math" w:eastAsia="Cambria Math" w:hAnsi="Cambria Math"/>
              </w:rPr>
              <m:t>π</m:t>
            </m:r>
            <m:f>
              <m:fPr>
                <m:ctrlPr>
                  <w:rPr>
                    <w:rFonts w:ascii="Cambria Math" w:cs="Cambria Math" w:eastAsia="Cambria Math" w:hAnsi="Cambria Math"/>
                  </w:rPr>
                </m:ctrlPr>
              </m:fPr>
              <m:num>
                <m:r>
                  <w:rPr>
                    <w:rFonts w:ascii="Cambria Math" w:cs="Cambria Math" w:eastAsia="Cambria Math" w:hAnsi="Cambria Math"/>
                  </w:rPr>
                  <m:t xml:space="preserve">k</m:t>
                </m:r>
              </m:num>
              <m:den>
                <m:r>
                  <w:rPr>
                    <w:rFonts w:ascii="Cambria Math" w:cs="Cambria Math" w:eastAsia="Cambria Math" w:hAnsi="Cambria Math"/>
                  </w:rPr>
                  <m:t>τ</m:t>
                </m:r>
              </m:den>
            </m:f>
            <m:r>
              <w:rPr>
                <w:rFonts w:ascii="Cambria Math" w:cs="Cambria Math" w:eastAsia="Cambria Math" w:hAnsi="Cambria Math"/>
              </w:rPr>
              <m:t xml:space="preserve">x+</m:t>
            </m:r>
            <m:sSub>
              <m:sSubPr>
                <m:ctrlPr>
                  <w:rPr>
                    <w:rFonts w:ascii="Cambria Math" w:cs="Cambria Math" w:eastAsia="Cambria Math" w:hAnsi="Cambria Math"/>
                  </w:rPr>
                </m:ctrlPr>
              </m:sSubPr>
              <m:e>
                <m:r>
                  <w:rPr>
                    <w:rFonts w:ascii="Cambria Math" w:cs="Cambria Math" w:eastAsia="Cambria Math" w:hAnsi="Cambria Math"/>
                  </w:rPr>
                  <m:t>θ</m:t>
                </m:r>
              </m:e>
              <m:sub>
                <m:r>
                  <w:rPr>
                    <w:rFonts w:ascii="Cambria Math" w:cs="Cambria Math" w:eastAsia="Cambria Math" w:hAnsi="Cambria Math"/>
                  </w:rPr>
                  <m:t xml:space="preserve">k</m:t>
                </m:r>
              </m:sub>
            </m:sSub>
          </m:e>
        </m:d>
      </m:oMath>
      <w:r w:rsidDel="00000000" w:rsidR="00000000" w:rsidRPr="00000000">
        <w:rPr>
          <w:rtl w:val="0"/>
        </w:rPr>
        <w:t xml:space="preserve">,</w:t>
        <w:tab/>
        <w:tab/>
        <w:t xml:space="preserve">(1)</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where </w:t>
      </w:r>
      <w:r w:rsidDel="00000000" w:rsidR="00000000" w:rsidRPr="00000000">
        <w:rPr>
          <w:i w:val="1"/>
          <w:rtl w:val="0"/>
        </w:rPr>
        <w:t xml:space="preserve">f</w:t>
      </w:r>
      <w:r w:rsidDel="00000000" w:rsidR="00000000" w:rsidRPr="00000000">
        <w:rPr>
          <w:rtl w:val="0"/>
        </w:rPr>
        <w:t xml:space="preserve"> is the function, and </w:t>
      </w:r>
      <w:r w:rsidDel="00000000" w:rsidR="00000000" w:rsidRPr="00000000">
        <w:rPr>
          <w:i w:val="1"/>
          <w:rtl w:val="0"/>
        </w:rPr>
        <w:t xml:space="preserve">τ </w:t>
      </w:r>
      <w:r w:rsidDel="00000000" w:rsidR="00000000" w:rsidRPr="00000000">
        <w:rPr>
          <w:rtl w:val="0"/>
        </w:rPr>
        <w:t xml:space="preserve">is</w:t>
      </w:r>
      <w:r w:rsidDel="00000000" w:rsidR="00000000" w:rsidRPr="00000000">
        <w:rPr>
          <w:i w:val="1"/>
          <w:rtl w:val="0"/>
        </w:rPr>
        <w:t xml:space="preserve"> </w:t>
      </w:r>
      <w:r w:rsidDel="00000000" w:rsidR="00000000" w:rsidRPr="00000000">
        <w:rPr>
          <w:rtl w:val="0"/>
        </w:rPr>
        <w:t xml:space="preserve">the period.</w:t>
      </w:r>
    </w:p>
    <w:p w:rsidR="00000000" w:rsidDel="00000000" w:rsidP="00000000" w:rsidRDefault="00000000" w:rsidRPr="00000000" w14:paraId="00000076">
      <w:pPr>
        <w:ind w:firstLine="709"/>
        <w:rPr/>
      </w:pPr>
      <w:r w:rsidDel="00000000" w:rsidR="00000000" w:rsidRPr="00000000">
        <w:rPr>
          <w:rtl w:val="0"/>
        </w:rPr>
        <w:t xml:space="preserve">Simple formulas should be as simple as possible, using arithmetic characters on the keyboard, superscript and substring, as well as Greek letters and other characters available in the Insert &gt; Symbol menu. For example, </w:t>
      </w:r>
      <w:r w:rsidDel="00000000" w:rsidR="00000000" w:rsidRPr="00000000">
        <w:rPr>
          <w:i w:val="1"/>
          <w:rtl w:val="0"/>
        </w:rPr>
        <w:t xml:space="preserve">E = mc</w:t>
      </w:r>
      <w:r w:rsidDel="00000000" w:rsidR="00000000" w:rsidRPr="00000000">
        <w:rPr>
          <w:i w:val="1"/>
          <w:vertAlign w:val="superscript"/>
          <w:rtl w:val="0"/>
        </w:rPr>
        <w:t xml:space="preserve">2</w:t>
      </w:r>
      <w:r w:rsidDel="00000000" w:rsidR="00000000" w:rsidRPr="00000000">
        <w:rPr>
          <w:rtl w:val="0"/>
        </w:rPr>
        <w:t xml:space="preserve">.</w:t>
      </w:r>
    </w:p>
    <w:p w:rsidR="00000000" w:rsidDel="00000000" w:rsidP="00000000" w:rsidRDefault="00000000" w:rsidRPr="00000000" w14:paraId="00000077">
      <w:pPr>
        <w:ind w:firstLine="709"/>
        <w:rPr/>
      </w:pPr>
      <w:r w:rsidDel="00000000" w:rsidR="00000000" w:rsidRPr="00000000">
        <w:rPr>
          <w:rtl w:val="0"/>
        </w:rPr>
        <w:t xml:space="preserve">Variables in the text should be in </w:t>
      </w:r>
      <w:r w:rsidDel="00000000" w:rsidR="00000000" w:rsidRPr="00000000">
        <w:rPr>
          <w:i w:val="1"/>
          <w:rtl w:val="0"/>
        </w:rPr>
        <w:t xml:space="preserve">italics</w:t>
      </w:r>
      <w:r w:rsidDel="00000000" w:rsidR="00000000" w:rsidRPr="00000000">
        <w:rPr>
          <w:rtl w:val="0"/>
        </w:rPr>
        <w:t xml:space="preserve">.</w:t>
      </w:r>
    </w:p>
    <w:p w:rsidR="00000000" w:rsidDel="00000000" w:rsidP="00000000" w:rsidRDefault="00000000" w:rsidRPr="00000000" w14:paraId="00000078">
      <w:pPr>
        <w:ind w:firstLine="709"/>
        <w:rPr/>
      </w:pPr>
      <w:r w:rsidDel="00000000" w:rsidR="00000000" w:rsidRPr="00000000">
        <w:rPr>
          <w:rtl w:val="0"/>
        </w:rPr>
      </w:r>
    </w:p>
    <w:p w:rsidR="00000000" w:rsidDel="00000000" w:rsidP="00000000" w:rsidRDefault="00000000" w:rsidRPr="00000000" w14:paraId="00000079">
      <w:pPr>
        <w:jc w:val="left"/>
        <w:rPr>
          <w:b w:val="1"/>
        </w:rPr>
      </w:pPr>
      <w:r w:rsidDel="00000000" w:rsidR="00000000" w:rsidRPr="00000000">
        <w:rPr>
          <w:b w:val="1"/>
          <w:rtl w:val="0"/>
        </w:rPr>
        <w:t xml:space="preserve">References</w:t>
      </w:r>
    </w:p>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Avrunev E. I., Krupinin N. Ya., Lebedeva T. A. 2016. “The Influence of Climate Change on the Biological Resources of the Northern Territories (The Urals, Western Siberia)]”. Izvestiya Samarskogo nauchnogo tsentra Rossiyskoy akademii nauk, vol. 18, no 2(2), pp. 272-275. [In Russian]</w:t>
      </w:r>
    </w:p>
    <w:p w:rsidR="00000000" w:rsidDel="00000000" w:rsidP="00000000" w:rsidRDefault="00000000" w:rsidRPr="00000000" w14:paraId="000000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Bakin O. V., Sarvarov A. S., Egorov Yu. E., Garanin V. I. 2002. “The Materials on the Population Dynamics of the Raifa Small Mammals”. Proceedings of the International Symposium “Mnogoletnyaya dinamika chislennosti ptits i mlekopitayushchikh v svyazi s global'nymi izmeneniyami klimata” (11-16 November, Russia, Tatarstan, Kazan), pp. 239-249. Kazan: Novoe znanie. [In Russian]</w:t>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Basova V. B. 2012. “The Dynamics of the Small Mammals Population in the National Park “Meshchera” in 2009-2012 and Its Relationship with Weather Conditions”. Proceedings of the Research Conference “Osobo okhranyaemye prirodnye territorii Vladimirskoy oblasti: sovremennoe sostoyanie i perspektivy razvitiya” (13 September). [In Russian]</w:t>
      </w:r>
    </w:p>
    <w:p w:rsidR="00000000" w:rsidDel="00000000" w:rsidP="00000000" w:rsidRDefault="00000000" w:rsidRPr="00000000" w14:paraId="000000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BenDor T., Sholtes J., Doyle M. W. 2009. “Landscape Characteristics of a Stream and Wetland Mitigation Banking Program”. Ecological Applications, no 19 (8), pp. 2078-2092.</w:t>
      </w:r>
    </w:p>
    <w:p w:rsidR="00000000" w:rsidDel="00000000" w:rsidP="00000000" w:rsidRDefault="00000000" w:rsidRPr="00000000" w14:paraId="0000007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Georghiou L., Cassingena H. J., Keenan M., Miles I., Popper R. (eds.). 2008. The Handbook of Technology Foresight: Concepts and Practice, Cheltenham: Edward Elgar Publishing.</w:t>
      </w:r>
    </w:p>
    <w:p w:rsidR="00000000" w:rsidDel="00000000" w:rsidP="00000000" w:rsidRDefault="00000000" w:rsidRPr="00000000" w14:paraId="0000007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Karavaev V. V. 1948. “Insurance Legislation for Workers in Tsarist Russia”. Cand. Sci. (Jur.) diss. VIYuN. [In Russian]</w:t>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Makarova A. A., Grigoryeva L. M., Mitrovoy T. A.. (eds). 2015. Evolution of the World Energy Markets and Its Consequences for Russia. Moscow: INEI RAN-ATs pri Pravitelstve RF. [In Russian]</w:t>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Mountain Encyclopedia. Accessed on 18 January 2017. http://www.mining-enc.ru [In Russian]</w:t>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Reports of the Terek Region Chief for 1881-1888. RF Central State Archive. F. 1263. Op. 2. D. 5187. L. 2-7, 325, 354. [In Russian]</w:t>
      </w:r>
    </w:p>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RF Budget Code of 31 July 1998 No 145-FZ (as of 15 February 2016). In: Sobranie zakonodatelstva RF, no 31, art. 3823. [In Russian]</w:t>
      </w:r>
    </w:p>
    <w:p w:rsidR="00000000" w:rsidDel="00000000" w:rsidP="00000000" w:rsidRDefault="00000000" w:rsidRPr="00000000" w14:paraId="0000008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Tkachev B. P. 2001. Geography and Ecology of the Ishim Region. Ishim: Graphic Design. [In Russian]</w:t>
      </w:r>
    </w:p>
    <w:p w:rsidR="00000000" w:rsidDel="00000000" w:rsidP="00000000" w:rsidRDefault="00000000" w:rsidRPr="00000000" w14:paraId="0000008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 General Assembly. 2006. “Convention on the Rights of Persons with Disabilities”. Resolution 61/106 adopted by the General Assembly on December 13. Accessed at http://base.garant.ru [In Russian]</w:t>
      </w:r>
    </w:p>
    <w:p w:rsidR="00000000" w:rsidDel="00000000" w:rsidP="00000000" w:rsidRDefault="00000000" w:rsidRPr="00000000" w14:paraId="00000086">
      <w:pPr>
        <w:spacing w:after="160"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87">
      <w:pPr>
        <w:jc w:val="left"/>
        <w:rPr/>
      </w:pPr>
      <w:r w:rsidDel="00000000" w:rsidR="00000000" w:rsidRPr="00000000">
        <w:rPr>
          <w:rtl w:val="0"/>
        </w:rPr>
        <w:t xml:space="preserve">Иван Иванович Иванов</w:t>
      </w:r>
      <w:r w:rsidDel="00000000" w:rsidR="00000000" w:rsidRPr="00000000">
        <w:rPr>
          <w:vertAlign w:val="superscript"/>
          <w:rtl w:val="0"/>
        </w:rPr>
        <w:t xml:space="preserve">1</w:t>
      </w:r>
      <w:r w:rsidDel="00000000" w:rsidR="00000000" w:rsidRPr="00000000">
        <w:rPr>
          <w:rtl w:val="0"/>
        </w:rPr>
      </w:r>
    </w:p>
    <w:p w:rsidR="00000000" w:rsidDel="00000000" w:rsidP="00000000" w:rsidRDefault="00000000" w:rsidRPr="00000000" w14:paraId="00000088">
      <w:pPr>
        <w:jc w:val="left"/>
        <w:rPr/>
      </w:pPr>
      <w:r w:rsidDel="00000000" w:rsidR="00000000" w:rsidRPr="00000000">
        <w:rPr>
          <w:rtl w:val="0"/>
        </w:rPr>
        <w:t xml:space="preserve">Пётр Сергеевич Смирнов</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89">
      <w:pPr>
        <w:jc w:val="left"/>
        <w:rPr/>
      </w:pPr>
      <w:r w:rsidDel="00000000" w:rsidR="00000000" w:rsidRPr="00000000">
        <w:rPr>
          <w:rtl w:val="0"/>
        </w:rPr>
      </w:r>
    </w:p>
    <w:p w:rsidR="00000000" w:rsidDel="00000000" w:rsidP="00000000" w:rsidRDefault="00000000" w:rsidRPr="00000000" w14:paraId="0000008A">
      <w:pPr>
        <w:jc w:val="left"/>
        <w:rPr/>
      </w:pPr>
      <w:r w:rsidDel="00000000" w:rsidR="00000000" w:rsidRPr="00000000">
        <w:rPr>
          <w:rtl w:val="0"/>
        </w:rPr>
        <w:t xml:space="preserve">УДК 662.5</w:t>
      </w:r>
    </w:p>
    <w:p w:rsidR="00000000" w:rsidDel="00000000" w:rsidP="00000000" w:rsidRDefault="00000000" w:rsidRPr="00000000" w14:paraId="0000008B">
      <w:pPr>
        <w:jc w:val="left"/>
        <w:rPr/>
      </w:pPr>
      <w:r w:rsidDel="00000000" w:rsidR="00000000" w:rsidRPr="00000000">
        <w:rPr>
          <w:rtl w:val="0"/>
        </w:rPr>
      </w:r>
    </w:p>
    <w:p w:rsidR="00000000" w:rsidDel="00000000" w:rsidP="00000000" w:rsidRDefault="00000000" w:rsidRPr="00000000" w14:paraId="0000008C">
      <w:pPr>
        <w:jc w:val="left"/>
        <w:rPr>
          <w:b w:val="1"/>
        </w:rPr>
      </w:pPr>
      <w:r w:rsidDel="00000000" w:rsidR="00000000" w:rsidRPr="00000000">
        <w:rPr>
          <w:b w:val="1"/>
          <w:rtl w:val="0"/>
        </w:rPr>
        <w:t xml:space="preserve">Заголовок статьи (не более 15 слов)</w:t>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08D">
      <w:pPr>
        <w:jc w:val="left"/>
        <w:rPr/>
      </w:pPr>
      <w:r w:rsidDel="00000000" w:rsidR="00000000" w:rsidRPr="00000000">
        <w:rPr>
          <w:rtl w:val="0"/>
        </w:rPr>
      </w:r>
    </w:p>
    <w:p w:rsidR="00000000" w:rsidDel="00000000" w:rsidP="00000000" w:rsidRDefault="00000000" w:rsidRPr="00000000" w14:paraId="0000008E">
      <w:pPr>
        <w:ind w:left="180" w:hanging="180"/>
        <w:jc w:val="left"/>
        <w:rPr/>
      </w:pPr>
      <w:r w:rsidDel="00000000" w:rsidR="00000000" w:rsidRPr="00000000">
        <w:rPr>
          <w:vertAlign w:val="superscript"/>
          <w:rtl w:val="0"/>
        </w:rPr>
        <w:t xml:space="preserve">1</w:t>
        <w:tab/>
      </w:r>
      <w:r w:rsidDel="00000000" w:rsidR="00000000" w:rsidRPr="00000000">
        <w:rPr>
          <w:rtl w:val="0"/>
        </w:rPr>
        <w:t xml:space="preserve">доктор биологических наук, профессор кафедры зоологии и эволюционной экологии животных, Тюменский государственный университет</w:t>
      </w:r>
    </w:p>
    <w:p w:rsidR="00000000" w:rsidDel="00000000" w:rsidP="00000000" w:rsidRDefault="00000000" w:rsidRPr="00000000" w14:paraId="0000008F">
      <w:pPr>
        <w:ind w:left="142" w:firstLine="38.00000000000001"/>
        <w:rPr/>
      </w:pPr>
      <w:hyperlink r:id="rId9">
        <w:r w:rsidDel="00000000" w:rsidR="00000000" w:rsidRPr="00000000">
          <w:rPr>
            <w:color w:val="1155cc"/>
            <w:u w:val="single"/>
            <w:rtl w:val="0"/>
          </w:rPr>
          <w:t xml:space="preserve">i.i.ivanov@utmn.ru</w:t>
        </w:r>
      </w:hyperlink>
      <w:r w:rsidDel="00000000" w:rsidR="00000000" w:rsidRPr="00000000">
        <w:rPr>
          <w:rtl w:val="0"/>
        </w:rPr>
        <w:t xml:space="preserve">; ORCID: 0000-000000-0000-0000</w:t>
      </w:r>
    </w:p>
    <w:p w:rsidR="00000000" w:rsidDel="00000000" w:rsidP="00000000" w:rsidRDefault="00000000" w:rsidRPr="00000000" w14:paraId="00000090">
      <w:pPr>
        <w:jc w:val="left"/>
        <w:rPr/>
      </w:pPr>
      <w:r w:rsidDel="00000000" w:rsidR="00000000" w:rsidRPr="00000000">
        <w:rPr>
          <w:rtl w:val="0"/>
        </w:rPr>
      </w:r>
    </w:p>
    <w:p w:rsidR="00000000" w:rsidDel="00000000" w:rsidP="00000000" w:rsidRDefault="00000000" w:rsidRPr="00000000" w14:paraId="00000091">
      <w:pPr>
        <w:ind w:left="180" w:hanging="180"/>
        <w:jc w:val="left"/>
        <w:rPr/>
      </w:pPr>
      <w:r w:rsidDel="00000000" w:rsidR="00000000" w:rsidRPr="00000000">
        <w:rPr>
          <w:vertAlign w:val="superscript"/>
          <w:rtl w:val="0"/>
        </w:rPr>
        <w:t xml:space="preserve">2</w:t>
        <w:tab/>
      </w:r>
      <w:r w:rsidDel="00000000" w:rsidR="00000000" w:rsidRPr="00000000">
        <w:rPr>
          <w:rtl w:val="0"/>
        </w:rPr>
        <w:t xml:space="preserve">кандидат сельскохозяйственных наук, доцент кафедры экологии и рационального природопользования, Государственный аграрный университет Северного Зауралья (г. Тюмень); научный сотрудник Государственного природного заповедника «Малая Сосьва» (г. Советский)</w:t>
      </w:r>
    </w:p>
    <w:p w:rsidR="00000000" w:rsidDel="00000000" w:rsidP="00000000" w:rsidRDefault="00000000" w:rsidRPr="00000000" w14:paraId="00000092">
      <w:pPr>
        <w:ind w:left="180" w:firstLine="0"/>
        <w:jc w:val="left"/>
        <w:rPr/>
      </w:pPr>
      <w:r w:rsidDel="00000000" w:rsidR="00000000" w:rsidRPr="00000000">
        <w:rPr>
          <w:rtl w:val="0"/>
        </w:rPr>
        <w:t xml:space="preserve">p.s.smirnov@utmn.ru</w:t>
      </w:r>
    </w:p>
    <w:p w:rsidR="00000000" w:rsidDel="00000000" w:rsidP="00000000" w:rsidRDefault="00000000" w:rsidRPr="00000000" w14:paraId="00000093">
      <w:pPr>
        <w:jc w:val="left"/>
        <w:rPr/>
      </w:pPr>
      <w:r w:rsidDel="00000000" w:rsidR="00000000" w:rsidRPr="00000000">
        <w:rPr>
          <w:rtl w:val="0"/>
        </w:rPr>
      </w:r>
    </w:p>
    <w:p w:rsidR="00000000" w:rsidDel="00000000" w:rsidP="00000000" w:rsidRDefault="00000000" w:rsidRPr="00000000" w14:paraId="00000094">
      <w:pPr>
        <w:jc w:val="left"/>
        <w:rPr/>
      </w:pPr>
      <w:r w:rsidDel="00000000" w:rsidR="00000000" w:rsidRPr="00000000">
        <w:rPr>
          <w:vertAlign w:val="superscript"/>
          <w:rtl w:val="0"/>
        </w:rPr>
        <w:t xml:space="preserve">*</w:t>
      </w:r>
      <w:r w:rsidDel="00000000" w:rsidR="00000000" w:rsidRPr="00000000">
        <w:rPr>
          <w:rtl w:val="0"/>
        </w:rPr>
        <w:t xml:space="preserve">Работа выполнена при финансовой поддержке РФФИ (грант № 12345).</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Аннотация</w:t>
      </w:r>
    </w:p>
    <w:p w:rsidR="00000000" w:rsidDel="00000000" w:rsidP="00000000" w:rsidRDefault="00000000" w:rsidRPr="00000000" w14:paraId="00000097">
      <w:pPr>
        <w:rPr/>
      </w:pPr>
      <w:r w:rsidDel="00000000" w:rsidR="00000000" w:rsidRPr="00000000">
        <w:rPr>
          <w:rtl w:val="0"/>
        </w:rPr>
        <w:t xml:space="preserve">Объем аннотации 200-250 слов. Она должна включать описание состояния науки, характеристику основной темы или проблемы объекта, описание научной новизны и актуальности исследования, цель исследования, основные методы, краткое описание проведенного исследования, краткие результаты исследования, главные выводы.</w:t>
      </w:r>
    </w:p>
    <w:p w:rsidR="00000000" w:rsidDel="00000000" w:rsidP="00000000" w:rsidRDefault="00000000" w:rsidRPr="00000000" w14:paraId="00000098">
      <w:pPr>
        <w:ind w:firstLine="284"/>
        <w:rPr/>
      </w:pPr>
      <w:r w:rsidDel="00000000" w:rsidR="00000000" w:rsidRPr="00000000">
        <w:rPr>
          <w:rtl w:val="0"/>
        </w:rPr>
        <w:t xml:space="preserve">В аннотации необходимо указать, что нового несет в себе научная статья в сравнении с другими, родственными по тематике и целевому назначению.</w:t>
      </w:r>
    </w:p>
    <w:p w:rsidR="00000000" w:rsidDel="00000000" w:rsidP="00000000" w:rsidRDefault="00000000" w:rsidRPr="00000000" w14:paraId="00000099">
      <w:pPr>
        <w:ind w:firstLine="284"/>
        <w:rPr/>
      </w:pPr>
      <w:r w:rsidDel="00000000" w:rsidR="00000000" w:rsidRPr="00000000">
        <w:rPr>
          <w:rtl w:val="0"/>
        </w:rPr>
        <w:t xml:space="preserve">Аннотация должна быть информативной (не содержать общих слов), содержательной (отражать основное содержание статьи и результаты исследований), структурированной (следовать логике описания результатов в статье).</w:t>
      </w:r>
    </w:p>
    <w:p w:rsidR="00000000" w:rsidDel="00000000" w:rsidP="00000000" w:rsidRDefault="00000000" w:rsidRPr="00000000" w14:paraId="0000009A">
      <w:pPr>
        <w:ind w:firstLine="284"/>
        <w:rPr/>
      </w:pPr>
      <w:r w:rsidDel="00000000" w:rsidR="00000000" w:rsidRPr="00000000">
        <w:rPr>
          <w:rtl w:val="0"/>
        </w:rPr>
        <w:t xml:space="preserve">Аннотация не должна содержать ссылок на литературу, формул и редких символов, которые требуют специальных шрифтов.</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b w:val="1"/>
          <w:rtl w:val="0"/>
        </w:rPr>
        <w:t xml:space="preserve">Ключевые слова</w:t>
      </w:r>
    </w:p>
    <w:p w:rsidR="00000000" w:rsidDel="00000000" w:rsidP="00000000" w:rsidRDefault="00000000" w:rsidRPr="00000000" w14:paraId="0000009D">
      <w:pPr>
        <w:rPr/>
      </w:pPr>
      <w:r w:rsidDel="00000000" w:rsidR="00000000" w:rsidRPr="00000000">
        <w:rPr>
          <w:rtl w:val="0"/>
        </w:rPr>
        <w:t xml:space="preserve">От 7 до 10 слов или словосочетаний, дисциплина, область науки, специфика темы, цель, объект, результаты исследования.</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jc w:val="left"/>
        <w:rPr>
          <w:b w:val="1"/>
        </w:rPr>
      </w:pPr>
      <w:r w:rsidDel="00000000" w:rsidR="00000000" w:rsidRPr="00000000">
        <w:rPr>
          <w:b w:val="1"/>
          <w:rtl w:val="0"/>
        </w:rPr>
        <w:t xml:space="preserve">Список литературы</w:t>
      </w:r>
    </w:p>
    <w:p w:rsidR="00000000" w:rsidDel="00000000" w:rsidP="00000000" w:rsidRDefault="00000000" w:rsidRPr="00000000" w14:paraId="000000A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Аврунев Е. И. Влияние изменения климата на биологические ресурсы северных территорий (Урал, Западная Сибирь) / Е. И. Аврунев, Н. Я. Крупинин, Т. А. Лебедева // Известия Самарского научного центра Российской академии наук. 2016. Том 18. № 2(2). С. 272-275.</w:t>
      </w:r>
    </w:p>
    <w:p w:rsidR="00000000" w:rsidDel="00000000" w:rsidP="00000000" w:rsidRDefault="00000000" w:rsidRPr="00000000" w14:paraId="000000A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Бакин О. В. Материалы по динамике численности мелких млекопитающих Раифы / О. В. Бакин, А. С. Сарваров, Ю. Е. Егоров, В. И. Гаранин // Многолетняя динамика численности птиц и млекопитающих в связи с глобальными изменениями климата: Материалы международного симпозиума (11-16 ноября 2002, Россия, Республика Татарстан, Казань). Казань: Новое знание, 2002. С. 239-249.</w:t>
      </w:r>
    </w:p>
    <w:p w:rsidR="00000000" w:rsidDel="00000000" w:rsidP="00000000" w:rsidRDefault="00000000" w:rsidRPr="00000000" w14:paraId="000000A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Басова В. Б. Динамика численности мелких млекопитающих национального парка «Мещера» в 2009-2012 гг. и ее связь с погодными условиями / В. Б. Басова // Научно-практическая конференция: «Особо охраняемые природные территории Владимирской области: современное состояние и перспективы развития». 13 сентября 2012. [Рукопись].</w:t>
      </w:r>
    </w:p>
    <w:p w:rsidR="00000000" w:rsidDel="00000000" w:rsidP="00000000" w:rsidRDefault="00000000" w:rsidRPr="00000000" w14:paraId="000000A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BenDor T. Landscape Characteristics of a Stream and Wetland Mitigation Banking Program / T. BenDor, J. Sholtes, M. W. Doyle // Ecological Applications. 2009. No 19(8). Pp. 2078-2092.</w:t>
      </w:r>
    </w:p>
    <w:p w:rsidR="00000000" w:rsidDel="00000000" w:rsidP="00000000" w:rsidRDefault="00000000" w:rsidRPr="00000000" w14:paraId="000000A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Handbook of Technology Foresight: Concepts and Practice / edited by L. Georghiou, H. J. Cassingena, M. Keenan, I. Miles, R. Popper. Cheltenham: Edward Elgar Publishing, 2008.</w:t>
      </w:r>
    </w:p>
    <w:p w:rsidR="00000000" w:rsidDel="00000000" w:rsidP="00000000" w:rsidRDefault="00000000" w:rsidRPr="00000000" w14:paraId="000000A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Караваев В. В. Законодательство о страховании рабочих в царской России: дис. канд. юрид. наук / В. В. Караваев. ВИЮН, 1948. 516 с.</w:t>
      </w:r>
    </w:p>
    <w:p w:rsidR="00000000" w:rsidDel="00000000" w:rsidP="00000000" w:rsidRDefault="00000000" w:rsidRPr="00000000" w14:paraId="000000A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Эволюция мировых энергетических рынков и ее последствия для России / под ред. А. А. Макарова, Л. М. Григорьева, Т. А. Митровой. М.: ИНЭИ РАН-АЦ при Правительстве РФ, 2015. 400 с.</w:t>
      </w:r>
    </w:p>
    <w:p w:rsidR="00000000" w:rsidDel="00000000" w:rsidP="00000000" w:rsidRDefault="00000000" w:rsidRPr="00000000" w14:paraId="000000A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Горная энциклопедия. URL: http://www.mining-enc.ru (дата обращения: 18.01.2017).</w:t>
      </w:r>
    </w:p>
    <w:p w:rsidR="00000000" w:rsidDel="00000000" w:rsidP="00000000" w:rsidRDefault="00000000" w:rsidRPr="00000000" w14:paraId="000000A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Отчеты начальника Терской области за 1881-1888 гг. Центральный государственный архив Российской Федерации. Ф. 1263. Оп. 2. Д. 5187. Л. 2-7, 325, 354. </w:t>
      </w:r>
    </w:p>
    <w:p w:rsidR="00000000" w:rsidDel="00000000" w:rsidP="00000000" w:rsidRDefault="00000000" w:rsidRPr="00000000" w14:paraId="000000A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Бюджетный кодекс Российской Федерации от 31.07.1998 г. № 145-ФЗ: по сост. на 15.02.2016 г. // Собрание законодательства РФ. 1998. № 31. Ст. 3823.</w:t>
      </w:r>
    </w:p>
    <w:p w:rsidR="00000000" w:rsidDel="00000000" w:rsidP="00000000" w:rsidRDefault="00000000" w:rsidRPr="00000000" w14:paraId="000000A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Ткачев Б. П. География и экология Приишимья / Б. П. Ткачев. Ишим: Graphic Design, 2001. 248 с.</w:t>
      </w:r>
    </w:p>
    <w:p w:rsidR="00000000" w:rsidDel="00000000" w:rsidP="00000000" w:rsidRDefault="00000000" w:rsidRPr="00000000" w14:paraId="000000A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Конвенция о правах инвалидов. Принята резолюцией 61/106 Генеральной Ассамблеи ООН 13 декабря 2006 года. URL: http://base.garant.ru</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publication of this text: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signature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Full name</w:t>
      </w:r>
    </w:p>
    <w:sectPr>
      <w:footerReference r:id="rId10" w:type="default"/>
      <w:pgSz w:h="16838" w:w="11906"/>
      <w:pgMar w:bottom="2552" w:top="2552" w:left="2268" w:right="226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5" w:hanging="70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850" w:hanging="705"/>
      </w:pPr>
      <w:rPr/>
    </w:lvl>
    <w:lvl w:ilvl="1">
      <w:start w:val="1"/>
      <w:numFmt w:val="lowerLetter"/>
      <w:lvlText w:val="%2."/>
      <w:lvlJc w:val="left"/>
      <w:pPr>
        <w:ind w:left="2225" w:hanging="360"/>
      </w:pPr>
      <w:rPr/>
    </w:lvl>
    <w:lvl w:ilvl="2">
      <w:start w:val="1"/>
      <w:numFmt w:val="lowerRoman"/>
      <w:lvlText w:val="%3."/>
      <w:lvlJc w:val="right"/>
      <w:pPr>
        <w:ind w:left="2945" w:hanging="180"/>
      </w:pPr>
      <w:rPr/>
    </w:lvl>
    <w:lvl w:ilvl="3">
      <w:start w:val="1"/>
      <w:numFmt w:val="decimal"/>
      <w:lvlText w:val="%4."/>
      <w:lvlJc w:val="left"/>
      <w:pPr>
        <w:ind w:left="3665" w:hanging="360"/>
      </w:pPr>
      <w:rPr/>
    </w:lvl>
    <w:lvl w:ilvl="4">
      <w:start w:val="1"/>
      <w:numFmt w:val="lowerLetter"/>
      <w:lvlText w:val="%5."/>
      <w:lvlJc w:val="left"/>
      <w:pPr>
        <w:ind w:left="4385" w:hanging="360"/>
      </w:pPr>
      <w:rPr/>
    </w:lvl>
    <w:lvl w:ilvl="5">
      <w:start w:val="1"/>
      <w:numFmt w:val="lowerRoman"/>
      <w:lvlText w:val="%6."/>
      <w:lvlJc w:val="right"/>
      <w:pPr>
        <w:ind w:left="5105" w:hanging="180"/>
      </w:pPr>
      <w:rPr/>
    </w:lvl>
    <w:lvl w:ilvl="6">
      <w:start w:val="1"/>
      <w:numFmt w:val="decimal"/>
      <w:lvlText w:val="%7."/>
      <w:lvlJc w:val="left"/>
      <w:pPr>
        <w:ind w:left="5825" w:hanging="360"/>
      </w:pPr>
      <w:rPr/>
    </w:lvl>
    <w:lvl w:ilvl="7">
      <w:start w:val="1"/>
      <w:numFmt w:val="lowerLetter"/>
      <w:lvlText w:val="%8."/>
      <w:lvlJc w:val="left"/>
      <w:pPr>
        <w:ind w:left="6545" w:hanging="360"/>
      </w:pPr>
      <w:rPr/>
    </w:lvl>
    <w:lvl w:ilvl="8">
      <w:start w:val="1"/>
      <w:numFmt w:val="lowerRoman"/>
      <w:lvlText w:val="%9."/>
      <w:lvlJc w:val="right"/>
      <w:pPr>
        <w:ind w:left="7265"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00470C"/>
    <w:pPr>
      <w:spacing w:after="0" w:line="240" w:lineRule="auto"/>
      <w:jc w:val="both"/>
    </w:pPr>
    <w:rPr>
      <w:rFonts w:ascii="Times New Roman" w:hAnsi="Times New Roman"/>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00470C"/>
    <w:pPr>
      <w:ind w:left="720"/>
      <w:contextualSpacing w:val="1"/>
    </w:pPr>
  </w:style>
  <w:style w:type="paragraph" w:styleId="a4">
    <w:name w:val="footer"/>
    <w:basedOn w:val="a"/>
    <w:link w:val="a5"/>
    <w:uiPriority w:val="99"/>
    <w:unhideWhenUsed w:val="1"/>
    <w:rsid w:val="0000470C"/>
    <w:pPr>
      <w:tabs>
        <w:tab w:val="center" w:pos="4677"/>
        <w:tab w:val="right" w:pos="9355"/>
      </w:tabs>
    </w:pPr>
  </w:style>
  <w:style w:type="character" w:styleId="a5" w:customStyle="1">
    <w:name w:val="Нижний колонтитул Знак"/>
    <w:basedOn w:val="a0"/>
    <w:link w:val="a4"/>
    <w:uiPriority w:val="99"/>
    <w:rsid w:val="0000470C"/>
    <w:rPr>
      <w:rFonts w:ascii="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i.i.ivanov@utmn.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i.ivanov@utmn.ru"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dKEikSJPaEyzX0SzwTn32iQpZQ==">AMUW2mU8hI2eqVeG04xzTvrjVxXot+g+1h1OetIeWyeu/nUINlZKgB5r2MOnGSfT3SpAQ18L5ObSiRpbvBuQnnOZ+qjoRIz9+0xwxV/7iiQUDOAFnQmj5PbjM3NIRhFKDjQx8ay4eulL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2019-09-23T06:04:00Z</dcterms:created>
  <dc:creator>Протасов Тимофей Андреевич</dc:creator>
</cp:coreProperties>
</file>